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63F" w:rsidRPr="0079563F" w:rsidRDefault="0079563F" w:rsidP="0079563F">
      <w:pPr>
        <w:jc w:val="center"/>
        <w:rPr>
          <w:b/>
          <w:lang/>
        </w:rPr>
      </w:pPr>
      <w:r w:rsidRPr="0079563F">
        <w:rPr>
          <w:b/>
          <w:lang/>
        </w:rPr>
        <w:t>Supply Chain Risk Management Symposium</w:t>
      </w:r>
    </w:p>
    <w:p w:rsidR="0079563F" w:rsidRPr="0079563F" w:rsidRDefault="0079563F" w:rsidP="0079563F">
      <w:pPr>
        <w:jc w:val="center"/>
        <w:rPr>
          <w:b/>
          <w:bCs/>
          <w:lang/>
        </w:rPr>
      </w:pPr>
      <w:r w:rsidRPr="0079563F">
        <w:rPr>
          <w:b/>
          <w:bCs/>
          <w:lang/>
        </w:rPr>
        <w:t>Advancing Supply Chain Risk Management: Emerging C</w:t>
      </w:r>
      <w:r>
        <w:rPr>
          <w:b/>
          <w:bCs/>
          <w:lang/>
        </w:rPr>
        <w:t>hallenges and Strategies</w:t>
      </w:r>
    </w:p>
    <w:p w:rsidR="0079563F" w:rsidRPr="0079563F" w:rsidRDefault="0079563F" w:rsidP="0079563F">
      <w:pPr>
        <w:rPr>
          <w:lang/>
        </w:rPr>
      </w:pPr>
      <w:r w:rsidRPr="0079563F">
        <w:rPr>
          <w:lang/>
        </w:rPr>
        <w:t xml:space="preserve">October 10, 2012 - 08:00am - 05:00pm EDT </w:t>
      </w:r>
    </w:p>
    <w:p w:rsidR="0079563F" w:rsidRPr="0079563F" w:rsidRDefault="0079563F" w:rsidP="0079563F">
      <w:pPr>
        <w:rPr>
          <w:lang/>
        </w:rPr>
      </w:pPr>
      <w:r w:rsidRPr="0079563F">
        <w:rPr>
          <w:i/>
          <w:iCs/>
          <w:lang/>
        </w:rPr>
        <w:t xml:space="preserve">This event is for </w:t>
      </w:r>
      <w:hyperlink r:id="rId6" w:history="1">
        <w:r w:rsidRPr="0079563F">
          <w:rPr>
            <w:rStyle w:val="Hyperlink"/>
            <w:i/>
            <w:iCs/>
            <w:lang/>
          </w:rPr>
          <w:t>CTL Partners</w:t>
        </w:r>
      </w:hyperlink>
      <w:r w:rsidRPr="0079563F">
        <w:rPr>
          <w:i/>
          <w:iCs/>
          <w:lang/>
        </w:rPr>
        <w:t xml:space="preserve"> and invited SCRLC guests. Space is limited and each CTL Partner and SCRLC Core Group member will be guaranteed at least one seat if registered before September 12 (four weeks before the event).  Additional seats will be granted at that time based on availability and a first-come-first-served basis.  </w:t>
      </w:r>
    </w:p>
    <w:p w:rsidR="0079563F" w:rsidRPr="0079563F" w:rsidRDefault="0079563F" w:rsidP="0079563F">
      <w:pPr>
        <w:rPr>
          <w:lang/>
        </w:rPr>
      </w:pPr>
      <w:hyperlink r:id="rId7" w:history="1">
        <w:r w:rsidRPr="0079563F">
          <w:rPr>
            <w:rStyle w:val="Hyperlink"/>
            <w:lang/>
          </w:rPr>
          <w:t>Agenda</w:t>
        </w:r>
      </w:hyperlink>
      <w:r w:rsidRPr="0079563F">
        <w:rPr>
          <w:lang/>
        </w:rPr>
        <w:t xml:space="preserve"> | </w:t>
      </w:r>
      <w:hyperlink r:id="rId8" w:anchor="FAQs" w:history="1">
        <w:r w:rsidRPr="0079563F">
          <w:rPr>
            <w:rStyle w:val="Hyperlink"/>
            <w:lang/>
          </w:rPr>
          <w:t>FAQs</w:t>
        </w:r>
      </w:hyperlink>
    </w:p>
    <w:p w:rsidR="007053EC" w:rsidRPr="007053EC" w:rsidRDefault="007053EC" w:rsidP="007053EC">
      <w:pPr>
        <w:spacing w:after="0" w:line="240" w:lineRule="auto"/>
        <w:rPr>
          <w:b/>
          <w:lang/>
        </w:rPr>
      </w:pPr>
      <w:r w:rsidRPr="007053EC">
        <w:rPr>
          <w:b/>
          <w:lang/>
        </w:rPr>
        <w:t xml:space="preserve">Location: </w:t>
      </w:r>
    </w:p>
    <w:p w:rsidR="0049409A" w:rsidRDefault="0049409A" w:rsidP="007053EC">
      <w:pPr>
        <w:spacing w:after="0" w:line="240" w:lineRule="auto"/>
        <w:rPr>
          <w:lang/>
        </w:rPr>
      </w:pPr>
      <w:r>
        <w:rPr>
          <w:lang/>
        </w:rPr>
        <w:t>MIT Campus, Cambridge, MA</w:t>
      </w:r>
    </w:p>
    <w:p w:rsidR="0079563F" w:rsidRDefault="0079563F" w:rsidP="007053EC">
      <w:pPr>
        <w:spacing w:after="0" w:line="240" w:lineRule="auto"/>
        <w:rPr>
          <w:lang/>
        </w:rPr>
      </w:pPr>
      <w:r w:rsidRPr="0079563F">
        <w:rPr>
          <w:lang/>
        </w:rPr>
        <w:t>MIT Faculty Club (</w:t>
      </w:r>
      <w:hyperlink r:id="rId9" w:tgtFrame="_blank" w:history="1">
        <w:r w:rsidRPr="0079563F">
          <w:rPr>
            <w:rStyle w:val="Hyperlink"/>
            <w:lang/>
          </w:rPr>
          <w:t>Campus Map</w:t>
        </w:r>
      </w:hyperlink>
      <w:r w:rsidRPr="0079563F">
        <w:rPr>
          <w:lang/>
        </w:rPr>
        <w:t>)</w:t>
      </w:r>
    </w:p>
    <w:p w:rsidR="0049409A" w:rsidRDefault="0049409A" w:rsidP="007053EC">
      <w:pPr>
        <w:spacing w:after="0" w:line="240" w:lineRule="auto"/>
        <w:rPr>
          <w:lang/>
        </w:rPr>
      </w:pPr>
      <w:r>
        <w:rPr>
          <w:lang/>
        </w:rPr>
        <w:t>Dining Room 5</w:t>
      </w:r>
    </w:p>
    <w:p w:rsidR="007053EC" w:rsidRPr="0079563F" w:rsidRDefault="007053EC" w:rsidP="007053EC">
      <w:pPr>
        <w:spacing w:after="0" w:line="240" w:lineRule="auto"/>
        <w:rPr>
          <w:lang/>
        </w:rPr>
      </w:pPr>
    </w:p>
    <w:p w:rsidR="007053EC" w:rsidRPr="007053EC" w:rsidRDefault="007053EC" w:rsidP="007053EC">
      <w:pPr>
        <w:spacing w:after="0" w:line="240" w:lineRule="auto"/>
        <w:rPr>
          <w:b/>
          <w:u w:val="single"/>
          <w:lang/>
        </w:rPr>
      </w:pPr>
      <w:r w:rsidRPr="007053EC">
        <w:rPr>
          <w:b/>
          <w:u w:val="single"/>
          <w:lang/>
        </w:rPr>
        <w:t>Registration Request:</w:t>
      </w:r>
    </w:p>
    <w:p w:rsidR="0079563F" w:rsidRDefault="0079563F" w:rsidP="007053EC">
      <w:pPr>
        <w:spacing w:after="0" w:line="240" w:lineRule="auto"/>
      </w:pPr>
      <w:hyperlink r:id="rId10" w:history="1">
        <w:r w:rsidRPr="0079563F">
          <w:rPr>
            <w:rStyle w:val="Hyperlink"/>
            <w:lang/>
          </w:rPr>
          <w:t>Register for this Event</w:t>
        </w:r>
      </w:hyperlink>
      <w:r w:rsidR="007053EC">
        <w:t xml:space="preserve"> – Note that this is a registration </w:t>
      </w:r>
      <w:r w:rsidR="007053EC" w:rsidRPr="009758C4">
        <w:rPr>
          <w:i/>
          <w:u w:val="single"/>
        </w:rPr>
        <w:t>request</w:t>
      </w:r>
      <w:r w:rsidR="007053EC">
        <w:t>.  You will receive a notification once your registration request has been accepted.</w:t>
      </w:r>
    </w:p>
    <w:p w:rsidR="007053EC" w:rsidRPr="0079563F" w:rsidRDefault="007053EC" w:rsidP="007053EC">
      <w:pPr>
        <w:spacing w:after="0" w:line="240" w:lineRule="auto"/>
        <w:rPr>
          <w:lang/>
        </w:rPr>
      </w:pPr>
    </w:p>
    <w:p w:rsidR="0079563F" w:rsidRPr="0079563F" w:rsidRDefault="0079563F" w:rsidP="007053EC">
      <w:pPr>
        <w:spacing w:after="0"/>
        <w:rPr>
          <w:lang/>
        </w:rPr>
      </w:pPr>
      <w:r w:rsidRPr="0079563F">
        <w:rPr>
          <w:b/>
          <w:bCs/>
          <w:lang/>
        </w:rPr>
        <w:t>Advancing Supply Chain Risk Management: Emerging Challenges and Strategies</w:t>
      </w:r>
    </w:p>
    <w:p w:rsidR="0079563F" w:rsidRPr="0079563F" w:rsidRDefault="0079563F" w:rsidP="0079563F">
      <w:pPr>
        <w:rPr>
          <w:lang/>
        </w:rPr>
      </w:pPr>
      <w:r w:rsidRPr="0079563F">
        <w:rPr>
          <w:b/>
          <w:bCs/>
          <w:lang/>
        </w:rPr>
        <w:t>October 10, 2012</w:t>
      </w:r>
    </w:p>
    <w:p w:rsidR="0079563F" w:rsidRPr="0079563F" w:rsidRDefault="0079563F" w:rsidP="0079563F">
      <w:pPr>
        <w:rPr>
          <w:lang/>
        </w:rPr>
      </w:pPr>
      <w:r w:rsidRPr="0079563F">
        <w:rPr>
          <w:lang/>
        </w:rPr>
        <w:t>Each new day brings evidence of the challenges and risks that business and our society face. The evidence comes in many forms – natural disasters, quality failures, labor action, terrorist attacks, supplier failures, industrial accidents. The result is increasingly significant and wide reaching in scope. Businesses are therefore called to deal with these risks proactively to put in place measures that will mitigate the impacts and protect their ability to maintain their business operations.</w:t>
      </w:r>
    </w:p>
    <w:p w:rsidR="0079563F" w:rsidRPr="0079563F" w:rsidRDefault="0079563F" w:rsidP="0079563F">
      <w:pPr>
        <w:rPr>
          <w:lang/>
        </w:rPr>
      </w:pPr>
      <w:r w:rsidRPr="0079563F">
        <w:rPr>
          <w:lang/>
        </w:rPr>
        <w:t xml:space="preserve">Recognizing the importance of proactively managing risks in supply chains, the </w:t>
      </w:r>
      <w:hyperlink r:id="rId11" w:history="1">
        <w:r w:rsidRPr="0079563F">
          <w:rPr>
            <w:rStyle w:val="Hyperlink"/>
            <w:lang/>
          </w:rPr>
          <w:t>MIT Center for Transportation and Logistics (CTL) Supply Chain Exchange</w:t>
        </w:r>
      </w:hyperlink>
      <w:r w:rsidRPr="0079563F">
        <w:rPr>
          <w:lang/>
        </w:rPr>
        <w:t xml:space="preserve"> in conjunction with the </w:t>
      </w:r>
      <w:hyperlink r:id="rId12" w:history="1">
        <w:r w:rsidRPr="0079563F">
          <w:rPr>
            <w:rStyle w:val="Hyperlink"/>
            <w:lang/>
          </w:rPr>
          <w:t>Supply Chain Risk Leadership Council (SCRLC)</w:t>
        </w:r>
      </w:hyperlink>
      <w:r w:rsidRPr="0079563F">
        <w:rPr>
          <w:lang/>
        </w:rPr>
        <w:t xml:space="preserve"> will host a symposium to explore the frontier of supply chain risk management entitled “Advancing Supply Chain Risk Management: Emerging Challenges and Strategies” on October 10, 2012 at the MIT Faculty Club.  The agenda is set to cover a range of topics, including ways to visualize and map a supply chain, continuity and crisis management, and emerging supply chain risks. The SCRLC’s recent publication, </w:t>
      </w:r>
      <w:hyperlink r:id="rId13" w:history="1">
        <w:r w:rsidRPr="0079563F">
          <w:rPr>
            <w:rStyle w:val="Hyperlink"/>
            <w:lang/>
          </w:rPr>
          <w:t xml:space="preserve">SCRM: </w:t>
        </w:r>
        <w:proofErr w:type="gramStart"/>
        <w:r w:rsidRPr="0079563F">
          <w:rPr>
            <w:rStyle w:val="Hyperlink"/>
            <w:lang/>
          </w:rPr>
          <w:t>A</w:t>
        </w:r>
        <w:proofErr w:type="gramEnd"/>
        <w:r w:rsidRPr="0079563F">
          <w:rPr>
            <w:rStyle w:val="Hyperlink"/>
            <w:lang/>
          </w:rPr>
          <w:t xml:space="preserve"> Compilation of Best Practices</w:t>
        </w:r>
      </w:hyperlink>
      <w:r w:rsidRPr="0079563F">
        <w:rPr>
          <w:lang/>
        </w:rPr>
        <w:t xml:space="preserve"> serves as a foundation for SC Risk Management and a useful reference for this symposium.  Each session is intended to encourage audience interaction and to elicit feedback from the supply chain community at large. A panel discussion will explore the topics of most interest to those in attendance.</w:t>
      </w:r>
    </w:p>
    <w:p w:rsidR="00DC1B88" w:rsidRDefault="0079563F">
      <w:r w:rsidRPr="0079563F">
        <w:rPr>
          <w:lang/>
        </w:rPr>
        <w:t>This symposium will bring together senior executives and thought-leaders from industry along with MIT to identify the current challenges and outline the state-of-art risk management practices</w:t>
      </w:r>
      <w:r w:rsidR="0049409A">
        <w:rPr>
          <w:lang/>
        </w:rPr>
        <w:t>.</w:t>
      </w:r>
    </w:p>
    <w:sectPr w:rsidR="00DC1B88" w:rsidSect="001F5C70">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EEE" w:rsidRDefault="008A5EEE" w:rsidP="0079563F">
      <w:pPr>
        <w:spacing w:after="0" w:line="240" w:lineRule="auto"/>
      </w:pPr>
      <w:r>
        <w:separator/>
      </w:r>
    </w:p>
  </w:endnote>
  <w:endnote w:type="continuationSeparator" w:id="0">
    <w:p w:rsidR="008A5EEE" w:rsidRDefault="008A5EEE" w:rsidP="007956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EEE" w:rsidRDefault="008A5EEE" w:rsidP="0079563F">
      <w:pPr>
        <w:spacing w:after="0" w:line="240" w:lineRule="auto"/>
      </w:pPr>
      <w:r>
        <w:separator/>
      </w:r>
    </w:p>
  </w:footnote>
  <w:footnote w:type="continuationSeparator" w:id="0">
    <w:p w:rsidR="008A5EEE" w:rsidRDefault="008A5EEE" w:rsidP="007956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63F" w:rsidRDefault="0049409A" w:rsidP="0049409A">
    <w:pPr>
      <w:pStyle w:val="Header"/>
    </w:pPr>
    <w:r w:rsidRPr="0049409A">
      <w:drawing>
        <wp:inline distT="0" distB="0" distL="0" distR="0">
          <wp:extent cx="1106365" cy="298938"/>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noChangeArrowheads="1"/>
                  </pic:cNvPicPr>
                </pic:nvPicPr>
                <pic:blipFill>
                  <a:blip r:embed="rId1"/>
                  <a:srcRect/>
                  <a:stretch>
                    <a:fillRect/>
                  </a:stretch>
                </pic:blipFill>
                <pic:spPr bwMode="auto">
                  <a:xfrm>
                    <a:off x="0" y="0"/>
                    <a:ext cx="1105465" cy="298695"/>
                  </a:xfrm>
                  <a:prstGeom prst="rect">
                    <a:avLst/>
                  </a:prstGeom>
                  <a:noFill/>
                  <a:ln w="9525" algn="ctr">
                    <a:noFill/>
                    <a:miter lim="800000"/>
                    <a:headEnd/>
                    <a:tailEnd/>
                  </a:ln>
                </pic:spPr>
              </pic:pic>
            </a:graphicData>
          </a:graphic>
        </wp:inline>
      </w:drawing>
    </w:r>
    <w:r>
      <w:t xml:space="preserve">                                       </w:t>
    </w:r>
    <w:r>
      <w:tab/>
    </w:r>
    <w:r w:rsidR="0079563F">
      <w:rPr>
        <w:noProof/>
      </w:rPr>
      <w:drawing>
        <wp:inline distT="0" distB="0" distL="0" distR="0">
          <wp:extent cx="3533873" cy="300253"/>
          <wp:effectExtent l="19050" t="0" r="942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3562192" cy="302659"/>
                  </a:xfrm>
                  <a:prstGeom prst="rect">
                    <a:avLst/>
                  </a:prstGeom>
                  <a:noFill/>
                  <a:ln w="9525">
                    <a:noFill/>
                    <a:miter lim="800000"/>
                    <a:headEnd/>
                    <a:tailEnd/>
                  </a:ln>
                </pic:spPr>
              </pic:pic>
            </a:graphicData>
          </a:graphic>
        </wp:inline>
      </w:drawing>
    </w:r>
  </w:p>
  <w:p w:rsidR="0079563F" w:rsidRDefault="007956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79563F"/>
    <w:rsid w:val="00000799"/>
    <w:rsid w:val="000164CA"/>
    <w:rsid w:val="00021033"/>
    <w:rsid w:val="00073697"/>
    <w:rsid w:val="000804A1"/>
    <w:rsid w:val="0008131A"/>
    <w:rsid w:val="000A6BE1"/>
    <w:rsid w:val="000B31B4"/>
    <w:rsid w:val="000D63EB"/>
    <w:rsid w:val="00130A8C"/>
    <w:rsid w:val="001342B6"/>
    <w:rsid w:val="0014373B"/>
    <w:rsid w:val="00171D3F"/>
    <w:rsid w:val="001F2D2D"/>
    <w:rsid w:val="001F5C70"/>
    <w:rsid w:val="00216029"/>
    <w:rsid w:val="00216576"/>
    <w:rsid w:val="002D18F8"/>
    <w:rsid w:val="002E0A53"/>
    <w:rsid w:val="002F79CF"/>
    <w:rsid w:val="0034624F"/>
    <w:rsid w:val="00352115"/>
    <w:rsid w:val="003839F5"/>
    <w:rsid w:val="003A7C9C"/>
    <w:rsid w:val="003B3AC0"/>
    <w:rsid w:val="003C2D6D"/>
    <w:rsid w:val="003C6F74"/>
    <w:rsid w:val="003E1F43"/>
    <w:rsid w:val="003E45A8"/>
    <w:rsid w:val="003F2CB6"/>
    <w:rsid w:val="00403048"/>
    <w:rsid w:val="0040523C"/>
    <w:rsid w:val="00412934"/>
    <w:rsid w:val="00445C39"/>
    <w:rsid w:val="004519CD"/>
    <w:rsid w:val="00491E00"/>
    <w:rsid w:val="0049409A"/>
    <w:rsid w:val="004A24DF"/>
    <w:rsid w:val="004D13F7"/>
    <w:rsid w:val="004D45D9"/>
    <w:rsid w:val="004D67BD"/>
    <w:rsid w:val="004D7E34"/>
    <w:rsid w:val="004E2E5D"/>
    <w:rsid w:val="004E40C4"/>
    <w:rsid w:val="00522D7E"/>
    <w:rsid w:val="00537CB4"/>
    <w:rsid w:val="00564E36"/>
    <w:rsid w:val="00571611"/>
    <w:rsid w:val="0057706C"/>
    <w:rsid w:val="00594FC4"/>
    <w:rsid w:val="005C456D"/>
    <w:rsid w:val="00651480"/>
    <w:rsid w:val="0066477A"/>
    <w:rsid w:val="00670E4B"/>
    <w:rsid w:val="006801B3"/>
    <w:rsid w:val="006D304F"/>
    <w:rsid w:val="006D48C8"/>
    <w:rsid w:val="00703A6B"/>
    <w:rsid w:val="007053EC"/>
    <w:rsid w:val="00736572"/>
    <w:rsid w:val="0075740B"/>
    <w:rsid w:val="00774E0C"/>
    <w:rsid w:val="0079563F"/>
    <w:rsid w:val="007A3DE6"/>
    <w:rsid w:val="007A783B"/>
    <w:rsid w:val="007E6012"/>
    <w:rsid w:val="0080513D"/>
    <w:rsid w:val="00822095"/>
    <w:rsid w:val="00832E2E"/>
    <w:rsid w:val="0084704E"/>
    <w:rsid w:val="008526B2"/>
    <w:rsid w:val="00863057"/>
    <w:rsid w:val="00864DC9"/>
    <w:rsid w:val="00876A39"/>
    <w:rsid w:val="00886185"/>
    <w:rsid w:val="008A5EEE"/>
    <w:rsid w:val="008B63EB"/>
    <w:rsid w:val="008E0100"/>
    <w:rsid w:val="008E548E"/>
    <w:rsid w:val="008F3FB0"/>
    <w:rsid w:val="009112FA"/>
    <w:rsid w:val="00951B38"/>
    <w:rsid w:val="00951C3E"/>
    <w:rsid w:val="00964954"/>
    <w:rsid w:val="00966C20"/>
    <w:rsid w:val="009758C4"/>
    <w:rsid w:val="0098305C"/>
    <w:rsid w:val="00996CEA"/>
    <w:rsid w:val="009C5A83"/>
    <w:rsid w:val="009E6FBF"/>
    <w:rsid w:val="009F6C03"/>
    <w:rsid w:val="009F7919"/>
    <w:rsid w:val="00A03F00"/>
    <w:rsid w:val="00A0629A"/>
    <w:rsid w:val="00A063EA"/>
    <w:rsid w:val="00A361CA"/>
    <w:rsid w:val="00A720CC"/>
    <w:rsid w:val="00A95679"/>
    <w:rsid w:val="00AA5C5D"/>
    <w:rsid w:val="00AA7F9A"/>
    <w:rsid w:val="00AE0ED0"/>
    <w:rsid w:val="00AE2F36"/>
    <w:rsid w:val="00AE57FF"/>
    <w:rsid w:val="00AF7355"/>
    <w:rsid w:val="00AF7A94"/>
    <w:rsid w:val="00B33C78"/>
    <w:rsid w:val="00B56F71"/>
    <w:rsid w:val="00B61675"/>
    <w:rsid w:val="00B6220D"/>
    <w:rsid w:val="00B67F0B"/>
    <w:rsid w:val="00B93EF2"/>
    <w:rsid w:val="00BA41A9"/>
    <w:rsid w:val="00BB5B32"/>
    <w:rsid w:val="00BD5127"/>
    <w:rsid w:val="00BE5A82"/>
    <w:rsid w:val="00C0626A"/>
    <w:rsid w:val="00C1472E"/>
    <w:rsid w:val="00C30A68"/>
    <w:rsid w:val="00C321E9"/>
    <w:rsid w:val="00C347AA"/>
    <w:rsid w:val="00C412FD"/>
    <w:rsid w:val="00C47E28"/>
    <w:rsid w:val="00C63607"/>
    <w:rsid w:val="00C75F2C"/>
    <w:rsid w:val="00C817AA"/>
    <w:rsid w:val="00CA4D3D"/>
    <w:rsid w:val="00CC5132"/>
    <w:rsid w:val="00CC560A"/>
    <w:rsid w:val="00CD5A1A"/>
    <w:rsid w:val="00CE11E8"/>
    <w:rsid w:val="00CF3455"/>
    <w:rsid w:val="00D0608F"/>
    <w:rsid w:val="00D361C6"/>
    <w:rsid w:val="00D56A45"/>
    <w:rsid w:val="00D72F53"/>
    <w:rsid w:val="00D8025C"/>
    <w:rsid w:val="00D82873"/>
    <w:rsid w:val="00D92805"/>
    <w:rsid w:val="00D96EDE"/>
    <w:rsid w:val="00DB3E77"/>
    <w:rsid w:val="00E105B4"/>
    <w:rsid w:val="00E11C34"/>
    <w:rsid w:val="00E138DD"/>
    <w:rsid w:val="00E1640C"/>
    <w:rsid w:val="00E3486C"/>
    <w:rsid w:val="00E41F6D"/>
    <w:rsid w:val="00E52AD8"/>
    <w:rsid w:val="00E93776"/>
    <w:rsid w:val="00E953E2"/>
    <w:rsid w:val="00E955FB"/>
    <w:rsid w:val="00EA76CF"/>
    <w:rsid w:val="00ED4321"/>
    <w:rsid w:val="00EF72FA"/>
    <w:rsid w:val="00F00F1E"/>
    <w:rsid w:val="00F016EB"/>
    <w:rsid w:val="00F06FD9"/>
    <w:rsid w:val="00F41BC0"/>
    <w:rsid w:val="00F429A2"/>
    <w:rsid w:val="00F554F2"/>
    <w:rsid w:val="00FB3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C7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63F"/>
    <w:rPr>
      <w:color w:val="0000FF" w:themeColor="hyperlink"/>
      <w:u w:val="single"/>
    </w:rPr>
  </w:style>
  <w:style w:type="paragraph" w:styleId="Header">
    <w:name w:val="header"/>
    <w:basedOn w:val="Normal"/>
    <w:link w:val="HeaderChar"/>
    <w:uiPriority w:val="99"/>
    <w:unhideWhenUsed/>
    <w:rsid w:val="00795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3F"/>
  </w:style>
  <w:style w:type="paragraph" w:styleId="Footer">
    <w:name w:val="footer"/>
    <w:basedOn w:val="Normal"/>
    <w:link w:val="FooterChar"/>
    <w:uiPriority w:val="99"/>
    <w:semiHidden/>
    <w:unhideWhenUsed/>
    <w:rsid w:val="007956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563F"/>
  </w:style>
  <w:style w:type="paragraph" w:styleId="BalloonText">
    <w:name w:val="Balloon Text"/>
    <w:basedOn w:val="Normal"/>
    <w:link w:val="BalloonTextChar"/>
    <w:uiPriority w:val="99"/>
    <w:semiHidden/>
    <w:unhideWhenUsed/>
    <w:rsid w:val="00795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6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962591">
      <w:bodyDiv w:val="1"/>
      <w:marLeft w:val="0"/>
      <w:marRight w:val="0"/>
      <w:marTop w:val="0"/>
      <w:marBottom w:val="0"/>
      <w:divBdr>
        <w:top w:val="none" w:sz="0" w:space="0" w:color="auto"/>
        <w:left w:val="none" w:sz="0" w:space="0" w:color="auto"/>
        <w:bottom w:val="none" w:sz="0" w:space="0" w:color="auto"/>
        <w:right w:val="none" w:sz="0" w:space="0" w:color="auto"/>
      </w:divBdr>
      <w:divsChild>
        <w:div w:id="2133203483">
          <w:marLeft w:val="0"/>
          <w:marRight w:val="0"/>
          <w:marTop w:val="0"/>
          <w:marBottom w:val="0"/>
          <w:divBdr>
            <w:top w:val="none" w:sz="0" w:space="0" w:color="auto"/>
            <w:left w:val="none" w:sz="0" w:space="0" w:color="auto"/>
            <w:bottom w:val="none" w:sz="0" w:space="0" w:color="auto"/>
            <w:right w:val="none" w:sz="0" w:space="0" w:color="auto"/>
          </w:divBdr>
          <w:divsChild>
            <w:div w:id="184177620">
              <w:marLeft w:val="0"/>
              <w:marRight w:val="0"/>
              <w:marTop w:val="0"/>
              <w:marBottom w:val="0"/>
              <w:divBdr>
                <w:top w:val="none" w:sz="0" w:space="0" w:color="auto"/>
                <w:left w:val="none" w:sz="0" w:space="0" w:color="auto"/>
                <w:bottom w:val="none" w:sz="0" w:space="0" w:color="auto"/>
                <w:right w:val="none" w:sz="0" w:space="0" w:color="auto"/>
              </w:divBdr>
              <w:divsChild>
                <w:div w:id="1678731485">
                  <w:marLeft w:val="0"/>
                  <w:marRight w:val="0"/>
                  <w:marTop w:val="0"/>
                  <w:marBottom w:val="0"/>
                  <w:divBdr>
                    <w:top w:val="none" w:sz="0" w:space="0" w:color="auto"/>
                    <w:left w:val="none" w:sz="0" w:space="0" w:color="auto"/>
                    <w:bottom w:val="none" w:sz="0" w:space="0" w:color="auto"/>
                    <w:right w:val="none" w:sz="0" w:space="0" w:color="auto"/>
                  </w:divBdr>
                  <w:divsChild>
                    <w:div w:id="1166091735">
                      <w:marLeft w:val="0"/>
                      <w:marRight w:val="0"/>
                      <w:marTop w:val="0"/>
                      <w:marBottom w:val="0"/>
                      <w:divBdr>
                        <w:top w:val="none" w:sz="0" w:space="0" w:color="auto"/>
                        <w:left w:val="none" w:sz="0" w:space="0" w:color="auto"/>
                        <w:bottom w:val="none" w:sz="0" w:space="0" w:color="auto"/>
                        <w:right w:val="none" w:sz="0" w:space="0" w:color="auto"/>
                      </w:divBdr>
                    </w:div>
                    <w:div w:id="224686991">
                      <w:marLeft w:val="0"/>
                      <w:marRight w:val="0"/>
                      <w:marTop w:val="0"/>
                      <w:marBottom w:val="0"/>
                      <w:divBdr>
                        <w:top w:val="none" w:sz="0" w:space="0" w:color="auto"/>
                        <w:left w:val="none" w:sz="0" w:space="0" w:color="auto"/>
                        <w:bottom w:val="none" w:sz="0" w:space="0" w:color="auto"/>
                        <w:right w:val="none" w:sz="0" w:space="0" w:color="auto"/>
                      </w:divBdr>
                      <w:divsChild>
                        <w:div w:id="1821072824">
                          <w:marLeft w:val="0"/>
                          <w:marRight w:val="0"/>
                          <w:marTop w:val="0"/>
                          <w:marBottom w:val="0"/>
                          <w:divBdr>
                            <w:top w:val="none" w:sz="0" w:space="0" w:color="auto"/>
                            <w:left w:val="none" w:sz="0" w:space="0" w:color="auto"/>
                            <w:bottom w:val="none" w:sz="0" w:space="0" w:color="auto"/>
                            <w:right w:val="none" w:sz="0" w:space="0" w:color="auto"/>
                          </w:divBdr>
                          <w:divsChild>
                            <w:div w:id="7112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220411">
      <w:bodyDiv w:val="1"/>
      <w:marLeft w:val="0"/>
      <w:marRight w:val="0"/>
      <w:marTop w:val="0"/>
      <w:marBottom w:val="0"/>
      <w:divBdr>
        <w:top w:val="none" w:sz="0" w:space="0" w:color="auto"/>
        <w:left w:val="none" w:sz="0" w:space="0" w:color="auto"/>
        <w:bottom w:val="none" w:sz="0" w:space="0" w:color="auto"/>
        <w:right w:val="none" w:sz="0" w:space="0" w:color="auto"/>
      </w:divBdr>
      <w:divsChild>
        <w:div w:id="385876270">
          <w:marLeft w:val="0"/>
          <w:marRight w:val="0"/>
          <w:marTop w:val="0"/>
          <w:marBottom w:val="0"/>
          <w:divBdr>
            <w:top w:val="none" w:sz="0" w:space="0" w:color="auto"/>
            <w:left w:val="none" w:sz="0" w:space="0" w:color="auto"/>
            <w:bottom w:val="none" w:sz="0" w:space="0" w:color="auto"/>
            <w:right w:val="none" w:sz="0" w:space="0" w:color="auto"/>
          </w:divBdr>
          <w:divsChild>
            <w:div w:id="1181049003">
              <w:marLeft w:val="0"/>
              <w:marRight w:val="0"/>
              <w:marTop w:val="0"/>
              <w:marBottom w:val="0"/>
              <w:divBdr>
                <w:top w:val="none" w:sz="0" w:space="0" w:color="auto"/>
                <w:left w:val="none" w:sz="0" w:space="0" w:color="auto"/>
                <w:bottom w:val="none" w:sz="0" w:space="0" w:color="auto"/>
                <w:right w:val="none" w:sz="0" w:space="0" w:color="auto"/>
              </w:divBdr>
              <w:divsChild>
                <w:div w:id="1635912890">
                  <w:marLeft w:val="0"/>
                  <w:marRight w:val="0"/>
                  <w:marTop w:val="0"/>
                  <w:marBottom w:val="0"/>
                  <w:divBdr>
                    <w:top w:val="none" w:sz="0" w:space="0" w:color="auto"/>
                    <w:left w:val="none" w:sz="0" w:space="0" w:color="auto"/>
                    <w:bottom w:val="none" w:sz="0" w:space="0" w:color="auto"/>
                    <w:right w:val="none" w:sz="0" w:space="0" w:color="auto"/>
                  </w:divBdr>
                  <w:divsChild>
                    <w:div w:id="1662351353">
                      <w:marLeft w:val="0"/>
                      <w:marRight w:val="0"/>
                      <w:marTop w:val="0"/>
                      <w:marBottom w:val="0"/>
                      <w:divBdr>
                        <w:top w:val="none" w:sz="0" w:space="0" w:color="auto"/>
                        <w:left w:val="none" w:sz="0" w:space="0" w:color="auto"/>
                        <w:bottom w:val="none" w:sz="0" w:space="0" w:color="auto"/>
                        <w:right w:val="none" w:sz="0" w:space="0" w:color="auto"/>
                      </w:divBdr>
                    </w:div>
                    <w:div w:id="1610504644">
                      <w:marLeft w:val="0"/>
                      <w:marRight w:val="0"/>
                      <w:marTop w:val="0"/>
                      <w:marBottom w:val="0"/>
                      <w:divBdr>
                        <w:top w:val="none" w:sz="0" w:space="0" w:color="auto"/>
                        <w:left w:val="none" w:sz="0" w:space="0" w:color="auto"/>
                        <w:bottom w:val="none" w:sz="0" w:space="0" w:color="auto"/>
                        <w:right w:val="none" w:sz="0" w:space="0" w:color="auto"/>
                      </w:divBdr>
                      <w:divsChild>
                        <w:div w:id="1643149860">
                          <w:marLeft w:val="0"/>
                          <w:marRight w:val="0"/>
                          <w:marTop w:val="0"/>
                          <w:marBottom w:val="0"/>
                          <w:divBdr>
                            <w:top w:val="none" w:sz="0" w:space="0" w:color="auto"/>
                            <w:left w:val="none" w:sz="0" w:space="0" w:color="auto"/>
                            <w:bottom w:val="none" w:sz="0" w:space="0" w:color="auto"/>
                            <w:right w:val="none" w:sz="0" w:space="0" w:color="auto"/>
                          </w:divBdr>
                          <w:divsChild>
                            <w:div w:id="62292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tl.mit.edu/2012October_SCRM" TargetMode="External"/><Relationship Id="rId13" Type="http://schemas.openxmlformats.org/officeDocument/2006/relationships/hyperlink" Target="http://www.scrlc.com/articles/Supply_Chain_Risk_Management_A_Compilation_of_Best_Practices_final%5B1%5D.pdf" TargetMode="External"/><Relationship Id="rId3" Type="http://schemas.openxmlformats.org/officeDocument/2006/relationships/webSettings" Target="webSettings.xml"/><Relationship Id="rId7" Type="http://schemas.openxmlformats.org/officeDocument/2006/relationships/hyperlink" Target="http://ctl.mit.edu/2012October_SCRM_agenda" TargetMode="External"/><Relationship Id="rId12" Type="http://schemas.openxmlformats.org/officeDocument/2006/relationships/hyperlink" Target="http://www.scrlc.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tl.mit.edu/partnering/list_partners" TargetMode="External"/><Relationship Id="rId11" Type="http://schemas.openxmlformats.org/officeDocument/2006/relationships/hyperlink" Target="http://ctl.mit.edu/partnering_ctl/ctl_supply_chain_exchange_partner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ctl.mit.edu/2012October_SCRM_register?id=4068&amp;ctlevent=&amp;cid=" TargetMode="External"/><Relationship Id="rId4" Type="http://schemas.openxmlformats.org/officeDocument/2006/relationships/footnotes" Target="footnotes.xml"/><Relationship Id="rId9" Type="http://schemas.openxmlformats.org/officeDocument/2006/relationships/hyperlink" Target="http://whereis.mit.edu/?go=e5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Provence</dc:creator>
  <cp:lastModifiedBy>Kirsten Provence</cp:lastModifiedBy>
  <cp:revision>1</cp:revision>
  <dcterms:created xsi:type="dcterms:W3CDTF">2012-08-07T14:43:00Z</dcterms:created>
  <dcterms:modified xsi:type="dcterms:W3CDTF">2012-08-07T15:00:00Z</dcterms:modified>
</cp:coreProperties>
</file>